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AD76" w14:textId="4A1DB151" w:rsidR="0053388C" w:rsidRPr="00476BBB" w:rsidRDefault="00505049" w:rsidP="00476BBB">
      <w:pPr>
        <w:spacing w:after="0" w:line="240" w:lineRule="auto"/>
        <w:ind w:firstLine="708"/>
        <w:jc w:val="center"/>
        <w:rPr>
          <w:rFonts w:ascii="Times New Roman" w:hAnsi="Times New Roman" w:cs="Times New Roman"/>
          <w:bCs/>
          <w:sz w:val="28"/>
        </w:rPr>
      </w:pPr>
      <w:r w:rsidRPr="00476BBB">
        <w:rPr>
          <w:rFonts w:ascii="Times New Roman" w:hAnsi="Times New Roman" w:cs="Times New Roman"/>
          <w:sz w:val="28"/>
        </w:rPr>
        <w:t xml:space="preserve">Прокуратура г. Бодайбо информирует об ответственности </w:t>
      </w:r>
      <w:r w:rsidR="00B305C6" w:rsidRPr="00476BBB">
        <w:rPr>
          <w:rFonts w:ascii="Times New Roman" w:hAnsi="Times New Roman" w:cs="Times New Roman"/>
          <w:bCs/>
          <w:sz w:val="28"/>
        </w:rPr>
        <w:t xml:space="preserve">за </w:t>
      </w:r>
      <w:r w:rsidR="0053388C" w:rsidRPr="00476BBB">
        <w:rPr>
          <w:rFonts w:ascii="Times New Roman" w:hAnsi="Times New Roman" w:cs="Times New Roman"/>
          <w:bCs/>
          <w:sz w:val="28"/>
        </w:rPr>
        <w:t>мошенничество в сфере кредитования</w:t>
      </w:r>
    </w:p>
    <w:p w14:paraId="70285B1F" w14:textId="77777777" w:rsidR="00476BBB" w:rsidRPr="0053388C" w:rsidRDefault="00476BBB" w:rsidP="0053388C">
      <w:pPr>
        <w:spacing w:after="0" w:line="240" w:lineRule="auto"/>
        <w:ind w:firstLine="708"/>
        <w:jc w:val="both"/>
        <w:rPr>
          <w:rFonts w:ascii="Times New Roman" w:hAnsi="Times New Roman" w:cs="Times New Roman"/>
          <w:b/>
          <w:sz w:val="28"/>
        </w:rPr>
      </w:pPr>
    </w:p>
    <w:p w14:paraId="5FC5057E" w14:textId="20CC23AA" w:rsidR="0053388C" w:rsidRDefault="0053388C" w:rsidP="0053388C">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соответствии с действующим законодательством РФ ответственность за мошенничество предусмотрена ст.</w:t>
      </w:r>
      <w:r w:rsidR="004A5604">
        <w:rPr>
          <w:rFonts w:ascii="Times New Roman" w:hAnsi="Times New Roman" w:cs="Times New Roman"/>
          <w:color w:val="000000" w:themeColor="text1"/>
          <w:sz w:val="28"/>
        </w:rPr>
        <w:t xml:space="preserve"> ст.</w:t>
      </w:r>
      <w:r>
        <w:rPr>
          <w:rFonts w:ascii="Times New Roman" w:hAnsi="Times New Roman" w:cs="Times New Roman"/>
          <w:color w:val="000000" w:themeColor="text1"/>
          <w:sz w:val="28"/>
        </w:rPr>
        <w:t xml:space="preserve"> 159-159.6 УК РФ. Одним из распространенных видов мошенничества является мошенничество в </w:t>
      </w:r>
      <w:r w:rsidR="004A5604">
        <w:rPr>
          <w:rFonts w:ascii="Times New Roman" w:hAnsi="Times New Roman" w:cs="Times New Roman"/>
          <w:color w:val="000000" w:themeColor="text1"/>
          <w:sz w:val="28"/>
        </w:rPr>
        <w:t>сфере кредитования, ответственность за которое закреплена в ст. 159.1 УК РФ.</w:t>
      </w:r>
    </w:p>
    <w:p w14:paraId="617DB5CD" w14:textId="3454CF94" w:rsidR="0053388C" w:rsidRPr="0053388C" w:rsidRDefault="0053388C" w:rsidP="0053388C">
      <w:pPr>
        <w:spacing w:after="0" w:line="240" w:lineRule="auto"/>
        <w:ind w:firstLine="708"/>
        <w:jc w:val="both"/>
        <w:rPr>
          <w:rFonts w:ascii="Times New Roman" w:hAnsi="Times New Roman" w:cs="Times New Roman"/>
          <w:sz w:val="28"/>
        </w:rPr>
      </w:pPr>
      <w:r>
        <w:rPr>
          <w:rFonts w:ascii="Times New Roman" w:hAnsi="Times New Roman" w:cs="Times New Roman"/>
          <w:color w:val="000000" w:themeColor="text1"/>
          <w:sz w:val="28"/>
        </w:rPr>
        <w:t xml:space="preserve"> </w:t>
      </w:r>
      <w:r w:rsidR="004A5604">
        <w:rPr>
          <w:rFonts w:ascii="Times New Roman" w:hAnsi="Times New Roman" w:cs="Times New Roman"/>
          <w:color w:val="000000" w:themeColor="text1"/>
          <w:sz w:val="28"/>
        </w:rPr>
        <w:t xml:space="preserve">Так, в соответствии с положениями ст. 159.1 УК РФ </w:t>
      </w:r>
      <w:r w:rsidR="004A5604" w:rsidRPr="004A5604">
        <w:rPr>
          <w:rFonts w:ascii="Times New Roman" w:hAnsi="Times New Roman" w:cs="Times New Roman"/>
          <w:sz w:val="28"/>
        </w:rPr>
        <w:t>под мошенничеством в сфере кредитования понимается хищение денежных средств </w:t>
      </w:r>
      <w:hyperlink r:id="rId4" w:anchor="dst100036" w:history="1">
        <w:r w:rsidR="004A5604" w:rsidRPr="004A5604">
          <w:rPr>
            <w:rStyle w:val="a4"/>
            <w:rFonts w:ascii="Times New Roman" w:hAnsi="Times New Roman" w:cs="Times New Roman"/>
            <w:color w:val="auto"/>
            <w:sz w:val="28"/>
            <w:u w:val="none"/>
          </w:rPr>
          <w:t>заемщиком</w:t>
        </w:r>
      </w:hyperlink>
      <w:r w:rsidR="004A5604" w:rsidRPr="004A5604">
        <w:rPr>
          <w:rFonts w:ascii="Times New Roman" w:hAnsi="Times New Roman" w:cs="Times New Roman"/>
          <w:sz w:val="28"/>
        </w:rPr>
        <w:t> путем представления </w:t>
      </w:r>
      <w:hyperlink r:id="rId5" w:anchor="dst100037" w:history="1">
        <w:r w:rsidR="004A5604" w:rsidRPr="004A5604">
          <w:rPr>
            <w:rStyle w:val="a4"/>
            <w:rFonts w:ascii="Times New Roman" w:hAnsi="Times New Roman" w:cs="Times New Roman"/>
            <w:color w:val="auto"/>
            <w:sz w:val="28"/>
            <w:u w:val="none"/>
          </w:rPr>
          <w:t>банку</w:t>
        </w:r>
      </w:hyperlink>
      <w:r w:rsidR="004A5604" w:rsidRPr="004A5604">
        <w:rPr>
          <w:rFonts w:ascii="Times New Roman" w:hAnsi="Times New Roman" w:cs="Times New Roman"/>
          <w:sz w:val="28"/>
        </w:rPr>
        <w:t> или иному кредитору заведомо ложных и (или) недостоверных </w:t>
      </w:r>
      <w:hyperlink r:id="rId6" w:anchor="dst100038" w:history="1">
        <w:r w:rsidR="004A5604" w:rsidRPr="004A5604">
          <w:rPr>
            <w:rStyle w:val="a4"/>
            <w:rFonts w:ascii="Times New Roman" w:hAnsi="Times New Roman" w:cs="Times New Roman"/>
            <w:color w:val="auto"/>
            <w:sz w:val="28"/>
            <w:u w:val="none"/>
          </w:rPr>
          <w:t>сведений</w:t>
        </w:r>
      </w:hyperlink>
      <w:r w:rsidR="004A5604">
        <w:rPr>
          <w:rFonts w:ascii="Times New Roman" w:hAnsi="Times New Roman" w:cs="Times New Roman"/>
          <w:sz w:val="28"/>
        </w:rPr>
        <w:t>.</w:t>
      </w:r>
    </w:p>
    <w:p w14:paraId="2EB464EC" w14:textId="785121B8" w:rsidR="0053388C" w:rsidRPr="0053388C" w:rsidRDefault="004A5604" w:rsidP="0053388C">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Введение</w:t>
      </w:r>
      <w:r w:rsidR="0053388C" w:rsidRPr="0053388C">
        <w:rPr>
          <w:rFonts w:ascii="Times New Roman" w:hAnsi="Times New Roman" w:cs="Times New Roman"/>
          <w:color w:val="000000" w:themeColor="text1"/>
          <w:sz w:val="28"/>
        </w:rPr>
        <w:t xml:space="preserve"> данного состава преступления</w:t>
      </w:r>
      <w:r>
        <w:rPr>
          <w:rFonts w:ascii="Times New Roman" w:hAnsi="Times New Roman" w:cs="Times New Roman"/>
          <w:color w:val="000000" w:themeColor="text1"/>
          <w:sz w:val="28"/>
        </w:rPr>
        <w:t xml:space="preserve"> путем внесения изменений в УК РФ Федеральным законом от 29.11.2012 № 207-ФЗ, прежде всего </w:t>
      </w:r>
      <w:r w:rsidR="0053388C" w:rsidRPr="0053388C">
        <w:rPr>
          <w:rFonts w:ascii="Times New Roman" w:hAnsi="Times New Roman" w:cs="Times New Roman"/>
          <w:color w:val="000000" w:themeColor="text1"/>
          <w:sz w:val="28"/>
        </w:rPr>
        <w:t>связано с необходимостью защиты интересов кредиторов, пострадавших от мошеннических действий физических лиц.</w:t>
      </w:r>
    </w:p>
    <w:p w14:paraId="6525E5E3" w14:textId="3F1BCD0E" w:rsidR="0052739B" w:rsidRDefault="004A5604" w:rsidP="0052739B">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4A5604">
        <w:rPr>
          <w:rFonts w:ascii="Times New Roman" w:hAnsi="Times New Roman" w:cs="Times New Roman"/>
          <w:color w:val="000000" w:themeColor="text1"/>
          <w:sz w:val="28"/>
        </w:rPr>
        <w:t>В целях обеспечения единообразного применения судами норм уголовного закона об ответственности за мошенничество</w:t>
      </w:r>
      <w:r>
        <w:rPr>
          <w:rFonts w:ascii="Times New Roman" w:hAnsi="Times New Roman" w:cs="Times New Roman"/>
          <w:color w:val="000000" w:themeColor="text1"/>
          <w:sz w:val="28"/>
        </w:rPr>
        <w:t xml:space="preserve"> Пленум Верховного Суда РФ с своем постановлении от 30.11.2017 № 48 </w:t>
      </w:r>
      <w:r w:rsidRPr="0052739B">
        <w:rPr>
          <w:rFonts w:ascii="Times New Roman" w:hAnsi="Times New Roman" w:cs="Times New Roman"/>
          <w:color w:val="000000" w:themeColor="text1"/>
          <w:sz w:val="28"/>
        </w:rPr>
        <w:t>«</w:t>
      </w:r>
      <w:r w:rsidR="0052739B" w:rsidRPr="0052739B">
        <w:rPr>
          <w:rFonts w:ascii="Times New Roman" w:hAnsi="Times New Roman" w:cs="Times New Roman"/>
          <w:color w:val="000000" w:themeColor="text1"/>
          <w:sz w:val="28"/>
        </w:rPr>
        <w:t>О судебной практике по делам о мошенничестве, присвоении и растрате»</w:t>
      </w:r>
      <w:r w:rsidR="0052739B">
        <w:rPr>
          <w:rFonts w:ascii="Times New Roman" w:hAnsi="Times New Roman" w:cs="Times New Roman"/>
          <w:color w:val="000000" w:themeColor="text1"/>
          <w:sz w:val="28"/>
        </w:rPr>
        <w:t xml:space="preserve"> дал следующие разъяснения.</w:t>
      </w:r>
    </w:p>
    <w:p w14:paraId="2BD72A5E" w14:textId="2EF2E6B7" w:rsidR="0052739B" w:rsidRDefault="0052739B" w:rsidP="0052739B">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Так, согласно п. 13 настоящего постановления, </w:t>
      </w:r>
      <w:r w:rsidRPr="0052739B">
        <w:rPr>
          <w:rFonts w:ascii="Times New Roman" w:hAnsi="Times New Roman" w:cs="Times New Roman"/>
          <w:color w:val="000000" w:themeColor="text1"/>
          <w:sz w:val="28"/>
        </w:rPr>
        <w:t>заемщиком признается лицо, обратившееся к кредитору с намерением получить, получающее или получившее кредит в виде денежных средств от своего имени или от имени представляемого им на законных основаниях юридического лица.</w:t>
      </w:r>
    </w:p>
    <w:p w14:paraId="398FAE68" w14:textId="6DA0AA0F" w:rsidR="0052739B" w:rsidRDefault="0052739B" w:rsidP="0052739B">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К</w:t>
      </w:r>
      <w:r w:rsidRPr="0052739B">
        <w:rPr>
          <w:rFonts w:ascii="Times New Roman" w:hAnsi="Times New Roman" w:cs="Times New Roman"/>
          <w:color w:val="000000" w:themeColor="text1"/>
          <w:sz w:val="28"/>
        </w:rPr>
        <w:t xml:space="preserve">редитором </w:t>
      </w:r>
      <w:r>
        <w:rPr>
          <w:rFonts w:ascii="Times New Roman" w:hAnsi="Times New Roman" w:cs="Times New Roman"/>
          <w:color w:val="000000" w:themeColor="text1"/>
          <w:sz w:val="28"/>
        </w:rPr>
        <w:t>применительно к</w:t>
      </w:r>
      <w:r w:rsidRPr="0052739B">
        <w:rPr>
          <w:rFonts w:ascii="Times New Roman" w:hAnsi="Times New Roman" w:cs="Times New Roman"/>
          <w:sz w:val="28"/>
        </w:rPr>
        <w:t> </w:t>
      </w:r>
      <w:hyperlink r:id="rId7" w:anchor="dst1214" w:history="1">
        <w:r w:rsidRPr="0052739B">
          <w:rPr>
            <w:rStyle w:val="a4"/>
            <w:rFonts w:ascii="Times New Roman" w:hAnsi="Times New Roman" w:cs="Times New Roman"/>
            <w:color w:val="auto"/>
            <w:sz w:val="28"/>
            <w:u w:val="none"/>
          </w:rPr>
          <w:t>статье 159.1</w:t>
        </w:r>
      </w:hyperlink>
      <w:r w:rsidRPr="0052739B">
        <w:rPr>
          <w:rFonts w:ascii="Times New Roman" w:hAnsi="Times New Roman" w:cs="Times New Roman"/>
          <w:sz w:val="28"/>
        </w:rPr>
        <w:t xml:space="preserve"> УК РФ </w:t>
      </w:r>
      <w:r w:rsidRPr="0052739B">
        <w:rPr>
          <w:rFonts w:ascii="Times New Roman" w:hAnsi="Times New Roman" w:cs="Times New Roman"/>
          <w:color w:val="000000" w:themeColor="text1"/>
          <w:sz w:val="28"/>
        </w:rPr>
        <w:t>может являться банк или иная кредитная организация, обладающая правом заключения кредитного договора</w:t>
      </w:r>
      <w:r>
        <w:rPr>
          <w:rFonts w:ascii="Times New Roman" w:hAnsi="Times New Roman" w:cs="Times New Roman"/>
          <w:color w:val="000000" w:themeColor="text1"/>
          <w:sz w:val="28"/>
        </w:rPr>
        <w:t>.</w:t>
      </w:r>
    </w:p>
    <w:p w14:paraId="1ADAB3DC" w14:textId="1FB6FC63" w:rsidR="004A5604" w:rsidRPr="0052739B" w:rsidRDefault="0052739B" w:rsidP="0052739B">
      <w:pPr>
        <w:spacing w:after="0" w:line="240" w:lineRule="auto"/>
        <w:jc w:val="both"/>
        <w:rPr>
          <w:rFonts w:ascii="Times New Roman" w:hAnsi="Times New Roman" w:cs="Times New Roman"/>
          <w:b/>
          <w:bCs/>
          <w:color w:val="000000" w:themeColor="text1"/>
          <w:sz w:val="28"/>
        </w:rPr>
      </w:pPr>
      <w:r>
        <w:rPr>
          <w:rFonts w:ascii="Times New Roman" w:hAnsi="Times New Roman" w:cs="Times New Roman"/>
          <w:color w:val="000000" w:themeColor="text1"/>
          <w:sz w:val="28"/>
        </w:rPr>
        <w:tab/>
      </w:r>
      <w:r w:rsidRPr="0052739B">
        <w:rPr>
          <w:rFonts w:ascii="Times New Roman" w:hAnsi="Times New Roman" w:cs="Times New Roman"/>
          <w:color w:val="000000" w:themeColor="text1"/>
          <w:sz w:val="28"/>
        </w:rPr>
        <w:t>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 наличие которых предусмотрено кредитором в качестве условия для предоставления кредита (например, сведения о месте работы, доходах, финансовом состоянии индивидуального предпринимателя или организации, наличии непогашенной кредиторской задолженности, об имуществе, являющемся предметом залога).</w:t>
      </w:r>
    </w:p>
    <w:p w14:paraId="163F3AFF" w14:textId="1C60C842" w:rsidR="0053388C" w:rsidRPr="0053388C" w:rsidRDefault="0052739B" w:rsidP="0053388C">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При этом стоит отметить, что з</w:t>
      </w:r>
      <w:r w:rsidR="0053388C" w:rsidRPr="0053388C">
        <w:rPr>
          <w:rFonts w:ascii="Times New Roman" w:hAnsi="Times New Roman" w:cs="Times New Roman"/>
          <w:color w:val="000000" w:themeColor="text1"/>
          <w:sz w:val="28"/>
        </w:rPr>
        <w:t>аконодателем выделено два вида сведений, предоставляя которые заемщик совершает мошенничество – ложные и недостоверные.</w:t>
      </w:r>
    </w:p>
    <w:p w14:paraId="12C6FBD1" w14:textId="057B20F8" w:rsidR="0053388C" w:rsidRPr="0053388C" w:rsidRDefault="0053388C" w:rsidP="0053388C">
      <w:pPr>
        <w:spacing w:after="0" w:line="240" w:lineRule="auto"/>
        <w:ind w:firstLine="708"/>
        <w:jc w:val="both"/>
        <w:rPr>
          <w:rFonts w:ascii="Times New Roman" w:hAnsi="Times New Roman" w:cs="Times New Roman"/>
          <w:color w:val="000000" w:themeColor="text1"/>
          <w:sz w:val="28"/>
        </w:rPr>
      </w:pPr>
      <w:r w:rsidRPr="0053388C">
        <w:rPr>
          <w:rFonts w:ascii="Times New Roman" w:hAnsi="Times New Roman" w:cs="Times New Roman"/>
          <w:color w:val="000000" w:themeColor="text1"/>
          <w:sz w:val="28"/>
        </w:rPr>
        <w:t>Заведомо ложные сведения</w:t>
      </w:r>
      <w:r w:rsidRPr="0053388C">
        <w:rPr>
          <w:rFonts w:ascii="Times New Roman" w:hAnsi="Times New Roman" w:cs="Times New Roman"/>
          <w:b/>
          <w:bCs/>
          <w:color w:val="000000" w:themeColor="text1"/>
          <w:sz w:val="28"/>
        </w:rPr>
        <w:t> </w:t>
      </w:r>
      <w:r w:rsidRPr="0053388C">
        <w:rPr>
          <w:rFonts w:ascii="Times New Roman" w:hAnsi="Times New Roman" w:cs="Times New Roman"/>
          <w:color w:val="000000" w:themeColor="text1"/>
          <w:sz w:val="28"/>
        </w:rPr>
        <w:t>–</w:t>
      </w:r>
      <w:r w:rsidR="0052739B">
        <w:rPr>
          <w:rFonts w:ascii="Times New Roman" w:hAnsi="Times New Roman" w:cs="Times New Roman"/>
          <w:color w:val="000000" w:themeColor="text1"/>
          <w:sz w:val="28"/>
        </w:rPr>
        <w:t xml:space="preserve"> </w:t>
      </w:r>
      <w:r w:rsidRPr="0053388C">
        <w:rPr>
          <w:rFonts w:ascii="Times New Roman" w:hAnsi="Times New Roman" w:cs="Times New Roman"/>
          <w:color w:val="000000" w:themeColor="text1"/>
          <w:sz w:val="28"/>
        </w:rPr>
        <w:t>это сведения, не соответствующие действительности, о чем заемщик знает и намеренно использует их в целях получения кредита для введения в заблуждение кредитора относительно важных для него обстоятельств.</w:t>
      </w:r>
    </w:p>
    <w:p w14:paraId="76B736B9" w14:textId="4E6EFF5C" w:rsidR="0053388C" w:rsidRPr="0053388C" w:rsidRDefault="0053388C" w:rsidP="0053388C">
      <w:pPr>
        <w:spacing w:after="0" w:line="240" w:lineRule="auto"/>
        <w:ind w:firstLine="708"/>
        <w:jc w:val="both"/>
        <w:rPr>
          <w:rFonts w:ascii="Times New Roman" w:hAnsi="Times New Roman" w:cs="Times New Roman"/>
          <w:color w:val="000000" w:themeColor="text1"/>
          <w:sz w:val="28"/>
        </w:rPr>
      </w:pPr>
      <w:r w:rsidRPr="0053388C">
        <w:rPr>
          <w:rFonts w:ascii="Times New Roman" w:hAnsi="Times New Roman" w:cs="Times New Roman"/>
          <w:color w:val="000000" w:themeColor="text1"/>
          <w:sz w:val="28"/>
        </w:rPr>
        <w:t xml:space="preserve">Под недостоверными сведениями следует понимать сведения, которые ранее соответствовали действительности, но в силу определенных обстоятельств утратили </w:t>
      </w:r>
      <w:r w:rsidR="00170E33">
        <w:rPr>
          <w:rFonts w:ascii="Times New Roman" w:hAnsi="Times New Roman" w:cs="Times New Roman"/>
          <w:color w:val="000000" w:themeColor="text1"/>
          <w:sz w:val="28"/>
        </w:rPr>
        <w:t xml:space="preserve">данное качество </w:t>
      </w:r>
      <w:r w:rsidR="00170E33" w:rsidRPr="00170E33">
        <w:rPr>
          <w:rFonts w:ascii="Times New Roman" w:hAnsi="Times New Roman" w:cs="Times New Roman"/>
          <w:color w:val="000000" w:themeColor="text1"/>
          <w:sz w:val="28"/>
        </w:rPr>
        <w:t>(например, данные о доходах или заработной плате, месте работы за прошлый период)</w:t>
      </w:r>
      <w:r w:rsidRPr="0053388C">
        <w:rPr>
          <w:rFonts w:ascii="Times New Roman" w:hAnsi="Times New Roman" w:cs="Times New Roman"/>
          <w:color w:val="000000" w:themeColor="text1"/>
          <w:sz w:val="28"/>
        </w:rPr>
        <w:t>.</w:t>
      </w:r>
    </w:p>
    <w:p w14:paraId="6DBB4114" w14:textId="17529D5F" w:rsidR="0053388C" w:rsidRDefault="0053388C" w:rsidP="0053388C">
      <w:pPr>
        <w:spacing w:after="0" w:line="240" w:lineRule="auto"/>
        <w:ind w:firstLine="708"/>
        <w:jc w:val="both"/>
        <w:rPr>
          <w:rFonts w:ascii="Times New Roman" w:hAnsi="Times New Roman" w:cs="Times New Roman"/>
          <w:color w:val="000000" w:themeColor="text1"/>
          <w:sz w:val="28"/>
        </w:rPr>
      </w:pPr>
      <w:r w:rsidRPr="0053388C">
        <w:rPr>
          <w:rFonts w:ascii="Times New Roman" w:hAnsi="Times New Roman" w:cs="Times New Roman"/>
          <w:color w:val="000000" w:themeColor="text1"/>
          <w:sz w:val="28"/>
        </w:rPr>
        <w:lastRenderedPageBreak/>
        <w:t xml:space="preserve">Ответственность за мошенничество в сфере кредитования наступает в </w:t>
      </w:r>
      <w:r w:rsidR="0052739B">
        <w:rPr>
          <w:rFonts w:ascii="Times New Roman" w:hAnsi="Times New Roman" w:cs="Times New Roman"/>
          <w:color w:val="000000" w:themeColor="text1"/>
          <w:sz w:val="28"/>
        </w:rPr>
        <w:t>том случае</w:t>
      </w:r>
      <w:r w:rsidRPr="0053388C">
        <w:rPr>
          <w:rFonts w:ascii="Times New Roman" w:hAnsi="Times New Roman" w:cs="Times New Roman"/>
          <w:color w:val="000000" w:themeColor="text1"/>
          <w:sz w:val="28"/>
        </w:rPr>
        <w:t xml:space="preserve">, когда </w:t>
      </w:r>
      <w:r w:rsidR="0052739B">
        <w:rPr>
          <w:rFonts w:ascii="Times New Roman" w:hAnsi="Times New Roman" w:cs="Times New Roman"/>
          <w:color w:val="000000" w:themeColor="text1"/>
          <w:sz w:val="28"/>
        </w:rPr>
        <w:t>д</w:t>
      </w:r>
      <w:r w:rsidR="0052739B" w:rsidRPr="0052739B">
        <w:rPr>
          <w:rFonts w:ascii="Times New Roman" w:hAnsi="Times New Roman" w:cs="Times New Roman"/>
          <w:color w:val="000000" w:themeColor="text1"/>
          <w:sz w:val="28"/>
        </w:rPr>
        <w:t xml:space="preserve">ействия заемщика, состоящие в получении наличных либо безналичных денежных средств путем представления банку или иному кредитору заведомо ложных и (или) недостоверных сведений </w:t>
      </w:r>
      <w:r w:rsidR="0052739B">
        <w:rPr>
          <w:rFonts w:ascii="Times New Roman" w:hAnsi="Times New Roman" w:cs="Times New Roman"/>
          <w:color w:val="000000" w:themeColor="text1"/>
          <w:sz w:val="28"/>
        </w:rPr>
        <w:t>имеют своей</w:t>
      </w:r>
      <w:r w:rsidR="0052739B" w:rsidRPr="0052739B">
        <w:rPr>
          <w:rFonts w:ascii="Times New Roman" w:hAnsi="Times New Roman" w:cs="Times New Roman"/>
          <w:color w:val="000000" w:themeColor="text1"/>
          <w:sz w:val="28"/>
        </w:rPr>
        <w:t xml:space="preserve"> целью безвозмездно</w:t>
      </w:r>
      <w:r w:rsidR="0052739B">
        <w:rPr>
          <w:rFonts w:ascii="Times New Roman" w:hAnsi="Times New Roman" w:cs="Times New Roman"/>
          <w:color w:val="000000" w:themeColor="text1"/>
          <w:sz w:val="28"/>
        </w:rPr>
        <w:t>е</w:t>
      </w:r>
      <w:r w:rsidR="0052739B" w:rsidRPr="0052739B">
        <w:rPr>
          <w:rFonts w:ascii="Times New Roman" w:hAnsi="Times New Roman" w:cs="Times New Roman"/>
          <w:color w:val="000000" w:themeColor="text1"/>
          <w:sz w:val="28"/>
        </w:rPr>
        <w:t xml:space="preserve"> обращени</w:t>
      </w:r>
      <w:r w:rsidR="0052739B">
        <w:rPr>
          <w:rFonts w:ascii="Times New Roman" w:hAnsi="Times New Roman" w:cs="Times New Roman"/>
          <w:color w:val="000000" w:themeColor="text1"/>
          <w:sz w:val="28"/>
        </w:rPr>
        <w:t>е</w:t>
      </w:r>
      <w:r w:rsidR="0052739B" w:rsidRPr="0052739B">
        <w:rPr>
          <w:rFonts w:ascii="Times New Roman" w:hAnsi="Times New Roman" w:cs="Times New Roman"/>
          <w:color w:val="000000" w:themeColor="text1"/>
          <w:sz w:val="28"/>
        </w:rPr>
        <w:t xml:space="preserve"> денежных средств в свою пользу или в пользу третьих лиц при заведомом отсутствии у него намерения возвратить их в соответствии с требованиями договора</w:t>
      </w:r>
      <w:r w:rsidRPr="0053388C">
        <w:rPr>
          <w:rFonts w:ascii="Times New Roman" w:hAnsi="Times New Roman" w:cs="Times New Roman"/>
          <w:color w:val="000000" w:themeColor="text1"/>
          <w:sz w:val="28"/>
        </w:rPr>
        <w:t>.</w:t>
      </w:r>
    </w:p>
    <w:p w14:paraId="7790EA84" w14:textId="77777777" w:rsidR="00AD1B17" w:rsidRPr="00AD1B17" w:rsidRDefault="00AD1B17" w:rsidP="00AD1B17">
      <w:pPr>
        <w:spacing w:after="0" w:line="240" w:lineRule="auto"/>
        <w:ind w:firstLine="708"/>
        <w:jc w:val="both"/>
        <w:rPr>
          <w:rFonts w:ascii="Times New Roman" w:hAnsi="Times New Roman" w:cs="Times New Roman"/>
          <w:color w:val="000000" w:themeColor="text1"/>
          <w:sz w:val="28"/>
        </w:rPr>
      </w:pPr>
      <w:r w:rsidRPr="00AD1B17">
        <w:rPr>
          <w:rFonts w:ascii="Times New Roman" w:hAnsi="Times New Roman" w:cs="Times New Roman"/>
          <w:color w:val="000000" w:themeColor="text1"/>
          <w:sz w:val="28"/>
        </w:rPr>
        <w:t>Совершение преступления, предусмотренного ч. 1 ст. 159.1 УК РФ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6524A91B" w14:textId="6608663D" w:rsidR="0052739B" w:rsidRPr="0053388C" w:rsidRDefault="00AD1B17" w:rsidP="0053388C">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Совершение квалифицированного или особо квалифицированного состава преступления, предусмотренного ч. ч. 2-4 ст. 159.1 УК РФ, в частности мошенничества в сфере кредитования совершенного</w:t>
      </w:r>
      <w:r w:rsidRPr="00AD1B17">
        <w:rPr>
          <w:rFonts w:ascii="Times New Roman" w:hAnsi="Times New Roman" w:cs="Times New Roman"/>
          <w:color w:val="000000" w:themeColor="text1"/>
          <w:sz w:val="28"/>
        </w:rPr>
        <w:t>: группой лиц по предварительному сговору</w:t>
      </w:r>
      <w:r>
        <w:rPr>
          <w:rFonts w:ascii="Times New Roman" w:hAnsi="Times New Roman" w:cs="Times New Roman"/>
          <w:color w:val="000000" w:themeColor="text1"/>
          <w:sz w:val="28"/>
        </w:rPr>
        <w:t>,</w:t>
      </w:r>
      <w:r w:rsidRPr="00AD1B17">
        <w:t xml:space="preserve"> </w:t>
      </w:r>
      <w:r w:rsidRPr="00AD1B17">
        <w:rPr>
          <w:rFonts w:ascii="Times New Roman" w:hAnsi="Times New Roman" w:cs="Times New Roman"/>
          <w:color w:val="000000" w:themeColor="text1"/>
          <w:sz w:val="28"/>
        </w:rPr>
        <w:t>лицом с использованием своего служебного положения, а равно в крупном размере</w:t>
      </w:r>
      <w:r>
        <w:rPr>
          <w:rFonts w:ascii="Times New Roman" w:hAnsi="Times New Roman" w:cs="Times New Roman"/>
          <w:color w:val="000000" w:themeColor="text1"/>
          <w:sz w:val="28"/>
        </w:rPr>
        <w:t xml:space="preserve"> (свыше </w:t>
      </w:r>
      <w:r w:rsidRPr="00AD1B17">
        <w:rPr>
          <w:rFonts w:ascii="Times New Roman" w:hAnsi="Times New Roman" w:cs="Times New Roman"/>
          <w:color w:val="000000" w:themeColor="text1"/>
          <w:sz w:val="28"/>
        </w:rPr>
        <w:t>од</w:t>
      </w:r>
      <w:r>
        <w:rPr>
          <w:rFonts w:ascii="Times New Roman" w:hAnsi="Times New Roman" w:cs="Times New Roman"/>
          <w:color w:val="000000" w:themeColor="text1"/>
          <w:sz w:val="28"/>
        </w:rPr>
        <w:t>ного</w:t>
      </w:r>
      <w:r w:rsidRPr="00AD1B17">
        <w:rPr>
          <w:rFonts w:ascii="Times New Roman" w:hAnsi="Times New Roman" w:cs="Times New Roman"/>
          <w:color w:val="000000" w:themeColor="text1"/>
          <w:sz w:val="28"/>
        </w:rPr>
        <w:t xml:space="preserve"> миллион</w:t>
      </w:r>
      <w:r>
        <w:rPr>
          <w:rFonts w:ascii="Times New Roman" w:hAnsi="Times New Roman" w:cs="Times New Roman"/>
          <w:color w:val="000000" w:themeColor="text1"/>
          <w:sz w:val="28"/>
        </w:rPr>
        <w:t>а</w:t>
      </w:r>
      <w:r w:rsidRPr="00AD1B17">
        <w:rPr>
          <w:rFonts w:ascii="Times New Roman" w:hAnsi="Times New Roman" w:cs="Times New Roman"/>
          <w:color w:val="000000" w:themeColor="text1"/>
          <w:sz w:val="28"/>
        </w:rPr>
        <w:t xml:space="preserve"> пятьсот тысяч рублей</w:t>
      </w:r>
      <w:r>
        <w:rPr>
          <w:rFonts w:ascii="Times New Roman" w:hAnsi="Times New Roman" w:cs="Times New Roman"/>
          <w:color w:val="000000" w:themeColor="text1"/>
          <w:sz w:val="28"/>
        </w:rPr>
        <w:t xml:space="preserve">), </w:t>
      </w:r>
      <w:r w:rsidRPr="00AD1B17">
        <w:rPr>
          <w:rFonts w:ascii="Times New Roman" w:hAnsi="Times New Roman" w:cs="Times New Roman"/>
          <w:color w:val="000000" w:themeColor="text1"/>
          <w:sz w:val="28"/>
        </w:rPr>
        <w:t>организованной группой либо в особо крупном размере</w:t>
      </w:r>
      <w:r>
        <w:rPr>
          <w:rFonts w:ascii="Times New Roman" w:hAnsi="Times New Roman" w:cs="Times New Roman"/>
          <w:color w:val="000000" w:themeColor="text1"/>
          <w:sz w:val="28"/>
        </w:rPr>
        <w:t xml:space="preserve"> (свыше 6 миллионов рублей) грозит более серьезным наказанием, вплоть до лишения свободы </w:t>
      </w:r>
      <w:r w:rsidR="00ED19CD">
        <w:rPr>
          <w:rFonts w:ascii="Times New Roman" w:hAnsi="Times New Roman" w:cs="Times New Roman"/>
          <w:color w:val="000000" w:themeColor="text1"/>
          <w:sz w:val="28"/>
        </w:rPr>
        <w:t>на срок до 10 лет.</w:t>
      </w:r>
    </w:p>
    <w:p w14:paraId="1329088E" w14:textId="5CF33AF7" w:rsidR="005A6CC3" w:rsidRPr="005A6CC3" w:rsidRDefault="005A6CC3" w:rsidP="000B1A73">
      <w:pPr>
        <w:spacing w:after="0" w:line="240" w:lineRule="auto"/>
        <w:ind w:firstLine="708"/>
        <w:jc w:val="both"/>
        <w:rPr>
          <w:rFonts w:ascii="Times New Roman" w:hAnsi="Times New Roman" w:cs="Times New Roman"/>
          <w:color w:val="000000" w:themeColor="text1"/>
          <w:sz w:val="28"/>
        </w:rPr>
      </w:pPr>
    </w:p>
    <w:p w14:paraId="0E43DF13" w14:textId="77777777" w:rsidR="00B305C6" w:rsidRPr="002177C6" w:rsidRDefault="00B305C6" w:rsidP="00486B57">
      <w:pPr>
        <w:spacing w:after="0" w:line="240" w:lineRule="auto"/>
        <w:jc w:val="both"/>
        <w:rPr>
          <w:rFonts w:ascii="Times New Roman" w:hAnsi="Times New Roman" w:cs="Times New Roman"/>
          <w:sz w:val="28"/>
        </w:rPr>
      </w:pPr>
      <w:bookmarkStart w:id="0" w:name="_GoBack"/>
      <w:bookmarkEnd w:id="0"/>
    </w:p>
    <w:sectPr w:rsidR="00B305C6" w:rsidRPr="002177C6" w:rsidSect="00D9552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E"/>
    <w:rsid w:val="000B1A73"/>
    <w:rsid w:val="00103631"/>
    <w:rsid w:val="00170E33"/>
    <w:rsid w:val="001E30B4"/>
    <w:rsid w:val="002177C6"/>
    <w:rsid w:val="00224C81"/>
    <w:rsid w:val="00260459"/>
    <w:rsid w:val="002A0F39"/>
    <w:rsid w:val="002F4138"/>
    <w:rsid w:val="00430976"/>
    <w:rsid w:val="00476BBB"/>
    <w:rsid w:val="00486B57"/>
    <w:rsid w:val="004A5604"/>
    <w:rsid w:val="00505049"/>
    <w:rsid w:val="0052739B"/>
    <w:rsid w:val="0053388C"/>
    <w:rsid w:val="0055418D"/>
    <w:rsid w:val="005A6CC3"/>
    <w:rsid w:val="00611244"/>
    <w:rsid w:val="0076660B"/>
    <w:rsid w:val="00786A43"/>
    <w:rsid w:val="0084077E"/>
    <w:rsid w:val="00A1004E"/>
    <w:rsid w:val="00AD1B17"/>
    <w:rsid w:val="00B305C6"/>
    <w:rsid w:val="00B800EF"/>
    <w:rsid w:val="00BD0F42"/>
    <w:rsid w:val="00C938A6"/>
    <w:rsid w:val="00D45366"/>
    <w:rsid w:val="00D9552B"/>
    <w:rsid w:val="00E50D4A"/>
    <w:rsid w:val="00EC1508"/>
    <w:rsid w:val="00ED19CD"/>
    <w:rsid w:val="00FB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F01"/>
  <w15:chartTrackingRefBased/>
  <w15:docId w15:val="{1965034F-ECFD-4EE4-B380-D54BCEE6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0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049"/>
    <w:rPr>
      <w:rFonts w:ascii="Times New Roman" w:hAnsi="Times New Roman" w:cs="Times New Roman"/>
      <w:sz w:val="24"/>
      <w:szCs w:val="24"/>
    </w:rPr>
  </w:style>
  <w:style w:type="character" w:styleId="a4">
    <w:name w:val="Hyperlink"/>
    <w:basedOn w:val="a0"/>
    <w:uiPriority w:val="99"/>
    <w:unhideWhenUsed/>
    <w:rsid w:val="00505049"/>
    <w:rPr>
      <w:color w:val="0563C1" w:themeColor="hyperlink"/>
      <w:u w:val="single"/>
    </w:rPr>
  </w:style>
  <w:style w:type="character" w:customStyle="1" w:styleId="10">
    <w:name w:val="Заголовок 1 Знак"/>
    <w:basedOn w:val="a0"/>
    <w:link w:val="1"/>
    <w:uiPriority w:val="9"/>
    <w:rsid w:val="00E50D4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22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126">
      <w:bodyDiv w:val="1"/>
      <w:marLeft w:val="0"/>
      <w:marRight w:val="0"/>
      <w:marTop w:val="0"/>
      <w:marBottom w:val="0"/>
      <w:divBdr>
        <w:top w:val="none" w:sz="0" w:space="0" w:color="auto"/>
        <w:left w:val="none" w:sz="0" w:space="0" w:color="auto"/>
        <w:bottom w:val="none" w:sz="0" w:space="0" w:color="auto"/>
        <w:right w:val="none" w:sz="0" w:space="0" w:color="auto"/>
      </w:divBdr>
    </w:div>
    <w:div w:id="280192399">
      <w:bodyDiv w:val="1"/>
      <w:marLeft w:val="0"/>
      <w:marRight w:val="0"/>
      <w:marTop w:val="0"/>
      <w:marBottom w:val="0"/>
      <w:divBdr>
        <w:top w:val="none" w:sz="0" w:space="0" w:color="auto"/>
        <w:left w:val="none" w:sz="0" w:space="0" w:color="auto"/>
        <w:bottom w:val="none" w:sz="0" w:space="0" w:color="auto"/>
        <w:right w:val="none" w:sz="0" w:space="0" w:color="auto"/>
      </w:divBdr>
    </w:div>
    <w:div w:id="409812676">
      <w:bodyDiv w:val="1"/>
      <w:marLeft w:val="0"/>
      <w:marRight w:val="0"/>
      <w:marTop w:val="0"/>
      <w:marBottom w:val="0"/>
      <w:divBdr>
        <w:top w:val="none" w:sz="0" w:space="0" w:color="auto"/>
        <w:left w:val="none" w:sz="0" w:space="0" w:color="auto"/>
        <w:bottom w:val="none" w:sz="0" w:space="0" w:color="auto"/>
        <w:right w:val="none" w:sz="0" w:space="0" w:color="auto"/>
      </w:divBdr>
    </w:div>
    <w:div w:id="711657446">
      <w:bodyDiv w:val="1"/>
      <w:marLeft w:val="0"/>
      <w:marRight w:val="0"/>
      <w:marTop w:val="0"/>
      <w:marBottom w:val="0"/>
      <w:divBdr>
        <w:top w:val="none" w:sz="0" w:space="0" w:color="auto"/>
        <w:left w:val="none" w:sz="0" w:space="0" w:color="auto"/>
        <w:bottom w:val="none" w:sz="0" w:space="0" w:color="auto"/>
        <w:right w:val="none" w:sz="0" w:space="0" w:color="auto"/>
      </w:divBdr>
    </w:div>
    <w:div w:id="882791673">
      <w:bodyDiv w:val="1"/>
      <w:marLeft w:val="0"/>
      <w:marRight w:val="0"/>
      <w:marTop w:val="0"/>
      <w:marBottom w:val="0"/>
      <w:divBdr>
        <w:top w:val="none" w:sz="0" w:space="0" w:color="auto"/>
        <w:left w:val="none" w:sz="0" w:space="0" w:color="auto"/>
        <w:bottom w:val="none" w:sz="0" w:space="0" w:color="auto"/>
        <w:right w:val="none" w:sz="0" w:space="0" w:color="auto"/>
      </w:divBdr>
    </w:div>
    <w:div w:id="1194804895">
      <w:bodyDiv w:val="1"/>
      <w:marLeft w:val="0"/>
      <w:marRight w:val="0"/>
      <w:marTop w:val="0"/>
      <w:marBottom w:val="0"/>
      <w:divBdr>
        <w:top w:val="none" w:sz="0" w:space="0" w:color="auto"/>
        <w:left w:val="none" w:sz="0" w:space="0" w:color="auto"/>
        <w:bottom w:val="none" w:sz="0" w:space="0" w:color="auto"/>
        <w:right w:val="none" w:sz="0" w:space="0" w:color="auto"/>
      </w:divBdr>
    </w:div>
    <w:div w:id="1408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49426/823429f3a37857573b519d0b17fd14f96a99bc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34675/" TargetMode="External"/><Relationship Id="rId5" Type="http://schemas.openxmlformats.org/officeDocument/2006/relationships/hyperlink" Target="https://www.consultant.ru/document/cons_doc_LAW_434675/" TargetMode="External"/><Relationship Id="rId4" Type="http://schemas.openxmlformats.org/officeDocument/2006/relationships/hyperlink" Target="https://www.consultant.ru/document/cons_doc_LAW_4346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Боклажко</dc:creator>
  <cp:keywords/>
  <dc:description/>
  <cp:lastModifiedBy>Учетная запись Майкрософт</cp:lastModifiedBy>
  <cp:revision>25</cp:revision>
  <dcterms:created xsi:type="dcterms:W3CDTF">2022-12-29T12:25:00Z</dcterms:created>
  <dcterms:modified xsi:type="dcterms:W3CDTF">2023-06-29T07:44:00Z</dcterms:modified>
</cp:coreProperties>
</file>